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lang w:val="ru-RU"/>
        </w:rPr>
      </w:pPr>
      <w:r>
        <w:rPr>
          <w:lang w:val="ru-RU"/>
        </w:rPr>
        <w:t xml:space="preserve">Окружающий мир 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rFonts w:ascii="Tahoma" w:hAnsi="Tahoma"/>
          <w:b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pPr>
      <w:r>
        <w:rPr>
          <w:lang w:val="ru-RU"/>
        </w:rPr>
        <w:t>Тема «</w:t>
      </w:r>
      <w:r>
        <w:rPr>
          <w:rFonts w:ascii="Tahoma" w:hAnsi="Tahoma"/>
          <w:b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  <w:t>Весенние изменения в живой и неживой природе. Наблюдение за поведением животных весной»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ahoma" w:hAnsi="Tahoma"/>
          <w:b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pPr>
      <w:r>
        <w:rPr>
          <w:rFonts w:ascii="Tahoma" w:hAnsi="Tahoma"/>
          <w:b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  <w:t>Учебник ( стр. 55-59) — прочитать, ответить на вопросы.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>
          <w:lang w:val="ru-RU"/>
        </w:rPr>
      </w:pPr>
      <w:r>
        <w:rPr>
          <w:lang w:val="ru-RU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4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2020-03-17T12:27:33Z</dcterms:created>
  <cp:revision>0</cp:revision>
</cp:coreProperties>
</file>